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装配式钢结构建筑技术培训班</w:t>
      </w:r>
    </w:p>
    <w:tbl>
      <w:tblPr>
        <w:tblStyle w:val="2"/>
        <w:tblpPr w:leftFromText="180" w:rightFromText="180" w:vertAnchor="text" w:horzAnchor="page" w:tblpX="1846" w:tblpY="921"/>
        <w:tblOverlap w:val="never"/>
        <w:tblW w:w="89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70"/>
        <w:gridCol w:w="1455"/>
        <w:gridCol w:w="3577"/>
        <w:gridCol w:w="13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  <w:t>专业方向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3577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  <w:t>授课主题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  <w:t>主讲人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restart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设计</w:t>
            </w:r>
          </w:p>
        </w:tc>
        <w:tc>
          <w:tcPr>
            <w:tcW w:w="1470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第一天上午</w:t>
            </w:r>
          </w:p>
        </w:tc>
        <w:tc>
          <w:tcPr>
            <w:tcW w:w="14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9:00～11:00</w:t>
            </w:r>
          </w:p>
        </w:tc>
        <w:tc>
          <w:tcPr>
            <w:tcW w:w="35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政策解读</w:t>
            </w:r>
          </w:p>
        </w:tc>
        <w:tc>
          <w:tcPr>
            <w:tcW w:w="130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欧阳仲贤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第一天下午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15:00～17:00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装配式钢结构建筑结构体系概述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邹伶云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第二天上午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9:00～11:00</w:t>
            </w:r>
          </w:p>
        </w:tc>
        <w:tc>
          <w:tcPr>
            <w:tcW w:w="3577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装配式钢结构建筑设计标准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第二天下午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15:00～17:00</w:t>
            </w:r>
          </w:p>
        </w:tc>
        <w:tc>
          <w:tcPr>
            <w:tcW w:w="3577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装配式钢结构深化设计要点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第三天上午</w:t>
            </w: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9:00～11:00</w:t>
            </w:r>
          </w:p>
        </w:tc>
        <w:tc>
          <w:tcPr>
            <w:tcW w:w="3577" w:type="dxa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装配式钢结构建筑设计案例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周一平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第三天下午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15:00～17:00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钢结构模块化集成建筑体系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聂磊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第三天下午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17:00～17:30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在线考核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restart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施工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第一天上午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9:00～11:00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政策解读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欧阳仲贤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第一天下午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15:00～17:00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装配式钢结构建筑结构体系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邹伶云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第二天上午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9:00～11:00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装配式钢结构高层施工关键技术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孙泉洁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第二天下午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15:00～17:00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装配式钢结构建筑施工关键技术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壮真才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第三天上午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9:00～11:00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装配式钢结构建筑施工案例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王晓军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第三天下午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15:00～17:00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装配式钢结构新技术演进趋势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石拓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第三天下午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17:00～17:30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在线考核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restart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检测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第一天上午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9:00～11:00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政策解读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欧阳仲贤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第一天下午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15:00～17:00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装配式钢结构建筑结构体系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邹伶云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第二天上午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9:00～1 1:00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装配式钢结构材料检测技术要点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袁庆莲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第二天下午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15:00～17:00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装配式钢结构现场检测技术及要点</w:t>
            </w:r>
          </w:p>
        </w:tc>
        <w:tc>
          <w:tcPr>
            <w:tcW w:w="130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第三天上午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9:00～11:00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装配式钢结构建筑检测案例</w:t>
            </w:r>
          </w:p>
        </w:tc>
        <w:tc>
          <w:tcPr>
            <w:tcW w:w="13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第三天下午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15:00～17:00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装配式钢结构新技术演进趋势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石拓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119" w:type="dxa"/>
            <w:vMerge w:val="continue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第三天下午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17:00～17:30</w:t>
            </w:r>
          </w:p>
        </w:tc>
        <w:tc>
          <w:tcPr>
            <w:tcW w:w="357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在线考核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8925" w:type="dxa"/>
            <w:gridSpan w:val="5"/>
            <w:shd w:val="clear" w:color="auto" w:fill="auto"/>
            <w:vAlign w:val="center"/>
          </w:tcPr>
          <w:p>
            <w:pPr>
              <w:autoSpaceDE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注：</w:t>
            </w:r>
          </w:p>
          <w:p>
            <w:pPr>
              <w:autoSpaceDE w:val="0"/>
              <w:snapToGrid w:val="0"/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1、每位学员每次限报一个专业方向。</w:t>
            </w:r>
          </w:p>
          <w:p>
            <w:pPr>
              <w:autoSpaceDE w:val="0"/>
              <w:snapToGrid w:val="0"/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2、报名成功后由培训举办方统一建立在线学习班级，保障线上培训顺利进行。</w:t>
            </w:r>
          </w:p>
          <w:p>
            <w:pPr>
              <w:autoSpaceDE w:val="0"/>
              <w:snapToGrid w:val="0"/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3、培训期间实行线上随时考勤，缺勤3次及以上者不发放培训合格证书，不退还培训费用。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4、培训资料：装配式钢结构建筑技术人员培训班讲义（电子版）。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5、其它线上学习资源：装配式钢结构相关政策及国家标准、示范项目、技术资料等。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  <w:sectPr>
          <w:pgSz w:w="11906" w:h="16838"/>
          <w:pgMar w:top="1984" w:right="1417" w:bottom="1417" w:left="1701" w:header="851" w:footer="992" w:gutter="0"/>
          <w:pgNumType w:fmt="numberInDash"/>
          <w:cols w:space="720" w:num="1"/>
          <w:docGrid w:type="lines" w:linePitch="330" w:charSpace="0"/>
        </w:sectPr>
      </w:pPr>
      <w:r>
        <w:rPr>
          <w:rFonts w:hint="eastAsia" w:ascii="宋体" w:hAnsi="宋体"/>
          <w:b/>
          <w:sz w:val="44"/>
          <w:szCs w:val="44"/>
        </w:rPr>
        <w:t>课程安排表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2020-05-18T07:39:03Z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